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05 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Рублевского Юрия Станиславовича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1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</w:t>
      </w:r>
      <w:r>
        <w:rPr>
          <w:rFonts w:ascii="Times New Roman" w:eastAsia="Times New Roman" w:hAnsi="Times New Roman" w:cs="Times New Roman"/>
        </w:rPr>
        <w:t xml:space="preserve">вающего по адресу: 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пенсионера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Рублевский Ю.С.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722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</w:t>
      </w:r>
      <w:r>
        <w:rPr>
          <w:rFonts w:ascii="Times New Roman" w:eastAsia="Times New Roman" w:hAnsi="Times New Roman" w:cs="Times New Roman"/>
        </w:rPr>
        <w:t xml:space="preserve">Тобольск -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Митсубиси Паджеро Спорт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Рублевский Ю.С.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обстоятельства правонарушения в материалах дела зафиксированы верно.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Рублевск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Ю.С.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Рублевский Ю.С. 06.01.</w:t>
      </w:r>
      <w:r>
        <w:rPr>
          <w:rFonts w:ascii="Times New Roman" w:eastAsia="Times New Roman" w:hAnsi="Times New Roman" w:cs="Times New Roman"/>
        </w:rPr>
        <w:t xml:space="preserve">2025 в 07 час. 33 мин. на 722 км. автодороги Р404 Тюмень – Тобольск - Ханты-Мансийск, управляя транспортным средством Митсубиси Паджеро Спорт г/н </w:t>
      </w:r>
      <w:r>
        <w:rPr>
          <w:rStyle w:val="cat-UserDefinedgrp-30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Рублевским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Рублевский Ю.С. 06.01.</w:t>
      </w:r>
      <w:r>
        <w:rPr>
          <w:rFonts w:ascii="Times New Roman" w:eastAsia="Times New Roman" w:hAnsi="Times New Roman" w:cs="Times New Roman"/>
        </w:rPr>
        <w:t xml:space="preserve">2025 в 07 час. 33 мин. на 722 км. автодороги Р404 Тюмень – Тобольск - Ханты-Мансийск, управляя транспортным средством Митсубиси Паджеро Спорт г/н </w:t>
      </w:r>
      <w:r>
        <w:rPr>
          <w:rStyle w:val="cat-UserDefinedgrp-3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>взвода № 1 роты № 2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Рублевский Ю.С. 06.01.</w:t>
      </w:r>
      <w:r>
        <w:rPr>
          <w:rFonts w:ascii="Times New Roman" w:eastAsia="Times New Roman" w:hAnsi="Times New Roman" w:cs="Times New Roman"/>
        </w:rPr>
        <w:t xml:space="preserve">2025 в 07 час. 33 мин. на 722 км. автодороги Р404 Тюмень – Тобольск - Ханты-Мансийск, управляя транспортным средством Митсубиси Паджеро Спорт г/н </w:t>
      </w:r>
      <w:r>
        <w:rPr>
          <w:rStyle w:val="cat-UserDefinedgrp-30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 ПДД РФ, совершил обгон в зоне действия </w:t>
      </w:r>
      <w:r>
        <w:rPr>
          <w:rFonts w:ascii="Times New Roman" w:eastAsia="Times New Roman" w:hAnsi="Times New Roman" w:cs="Times New Roman"/>
        </w:rPr>
        <w:t>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 xml:space="preserve">, согласно которой </w:t>
      </w:r>
      <w:r>
        <w:rPr>
          <w:b w:val="0"/>
          <w:bCs w:val="0"/>
          <w:i w:val="0"/>
          <w:sz w:val="24"/>
          <w:szCs w:val="24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4"/>
          <w:szCs w:val="24"/>
        </w:rPr>
        <w:t xml:space="preserve">Митсубиси Паджеро Спорт г/н </w:t>
      </w:r>
      <w:r>
        <w:rPr>
          <w:rStyle w:val="cat-UserDefinedgrp-30rplc-43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Рублевского Юрия Станиславовича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40910225354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